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SERVIZIO LAVORI PUBBLICI - T.A.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DETERMINAZIONE n. 141 del 01-09-2020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Registro SERVIZIO LAVORI PUBBLICI - T.A. n. 34 del 01-09-2020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tbl>
      <w:tblPr>
        <w:tblInd w:w="38" w:type="dxa"/>
      </w:tblPr>
      <w:tblGrid>
        <w:gridCol w:w="9778"/>
      </w:tblGrid>
      <w:tr>
        <w:trPr>
          <w:trHeight w:val="1" w:hRule="atLeast"/>
          <w:jc w:val="left"/>
        </w:trPr>
        <w:tc>
          <w:tcPr>
            <w:tcW w:w="9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OGGETTO: LAVORI DI ADEGUAMENTO DI UN INVASO ARTIFICIALE LOCALITÀ "I POZZI"  - Domanda di aiuto n. 54250579858 - P.S.R. Lazio 2014/20 Mis. 8.3.1 - CUP: E69E17000090002  Affidamento servizio tecnico relativo al Coordinamento della sicurezza in esecuzione - art. 1 del D.L. n. 76 del 16.07.2020 (affidamento diretto).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L'anno  duemilaventi, addì  uno del mese di settembre 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25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IL RESPONSABILE DEL SERVIZIO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254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VISTO lo Statuto del Comune;</w:t>
      </w: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VISTI gli artt. 4, 13 e segg. del D.Lgs. n. 165/01 e successive modifiche;</w:t>
      </w: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VISTO l'art. 183, comma 9, del D.Lgs. 18.08.2000, n. 267;</w:t>
      </w: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VISTO il Regolamento Comunale di Contabilità;</w:t>
      </w: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VISTO il D.Lgs. n. 267/00, artt. 107 e 109;</w:t>
      </w: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VISTA la deliberazione di Consiglio Comunale n. 16 del 11.08.2020 esecutiva ai sensi di legge con la quale è stato approvato il D.U.P. per gli esercizi 2020/2022; </w:t>
      </w: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VISTA la deliberazione di Consiglio Comunale n. 17 del 11.08.2020 esecutiva ai sensi di legge con la quale è stato approvato il Bilancio di previsione 2020/2022 ed i relativi allegati;</w:t>
      </w: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VISTO il Decreto Sindacale n. 07 del 01.07.2020;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RICHIAMATA la Determinazione n. G09006 del 27 giugno 2017, pubblicata sul BURL n. 55 del 11 luglio 2017, con la quale è stato adottato il bando pubblico per l’attuazione della Misura 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Investimenti nello sviluppo delle aree forestali e nel miglioramento della redditività delle foreste” 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Sottomisura 8.3 “Sostegno alla prevenzione dei danni arrecati alle foreste da incendi, calamità naturali ed eventi catastrofici” 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Tipologia di Operazione 8.3.1 “Prevenzione dei danni alle foreste da incendi boschivi, calamità naturali ed eventi catastrofici”;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Visto il Bando pubblico Misura 08, ed in particolare, la tipologia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intervento 8.3.1.2 che prevede la formazione e manutenzione di punti di approvvigionamento idrico, quali: invasi, serbatoi o vasche di raccolta acque per uso antincendio boschivo (AIB);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Richiamata la determinazione regione le n. G12795 20/09/2017, ad oggetto: Regolamento (UE) n. 1305/2013 del 17 dicembre 2013 - art. 21. Programma di Sviluppo Rurale (PSR) del Lazio per il periodo 2014/2020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Misura 08 "Investimenti nello sviluppo delle aree forestali e nel miglioramento della redditività delle foreste" 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Sottomisura 8.3 "Sostegno alla prevenzione dei danni arrecati alle foreste da incendi, calamità naturali ed eventi catastrofici" 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Tipologia di Operazione 8.3.1 "Prevenzione dei danni alle foreste da incendi boschivi, calamità naturali ed eventi catastrofici". Modifica bando pubblico, approvazione testo consolidato e proroga del termine per la presentazione delle domande di sostegno;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DATO ATTO che il Comune di Pescosolido ha partecipato a detto bando, al fine di ottenere le risorse occorrenti per la manutenzione straordinaria e adeguamento dell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invaso artificiale loc. “I Pozzi” indispensabile a fronteggiare le emergenze legate agli incendi boschivi;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CHE la Regione Lazio con nota prot. n. 625457 del 29.07.2019 e successiva nota prot. prot. 835983 del 18.10.2019 comunicava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ammissibilità parziale dell’intervento per un contributo di € 155.201,30 concedibili a fronte di € 219.375,69 inizialmente richiesti;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RICHIAMATA la delibera di Giunta comunale n. 74 del 16.12.2019 con la quale venivano approvati gli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elaborati del progetto esecutivo finalizzati ad ottenere le dovute autorizzazioni e n.o. attraverso le procedure della conferenza di servizi della Legge 241/1990;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DATO ATTO che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stata indetta specifica conferenza di servizi semplificata ed asincrona, giusto prot. n. 3975 del 23.12.2019;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CHE con determinazione n. 22 del 24.02.2020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stata conclusa positivamente detta conferenza rendendo il progetto completo e cantierabile;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DATO ATTO che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intervento proposto è inserito nel Programma Triennale delle Opere Pubbliche dell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Ente;</w:t>
      </w:r>
    </w:p>
    <w:p>
      <w:pPr>
        <w:tabs>
          <w:tab w:val="left" w:pos="9639" w:leader="none"/>
        </w:tabs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CHE con deliberazione di Giunta comunale n. 30 del 01.06.2020, si è perfezionata la presa d’atto della concessione del contributo, approvato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atto di concessione e la modulistica allegata, dando il via alla fase di aggiudicazione ed esecuzione dell’intervento;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PRECISATO che con la medesima deliberazione n. 30 del 01.06.2020, veniva approvato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atto di concessione ed autorizzato il legale rappresentante dell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Ente alla sottoscrizione dello stesso come piena accettazione delle condizioni in esso contenute;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CHE con propria determinazione n. 106 del 13/07/2020, ai sensi dell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art. 32 del D.lgs. 50/20216, venivano avviate le procedure di gara ed approvata la modulistica di gara;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CHE con successiva determinazione n. 127 del 13.08.2020 si provvedeva ad aggiudicare in via definitiva i lavori in oggetto all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impresa La Rocca Vincenzo;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RILEVATO che occorre procedere urgentemente all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individuazione del professionista a cui affidare il servizio tecnico relativo al coordinamento della sicurezza in fase di esecuzione dei lavori e quindi provvedere alla consegna degli stessi nel rispetto delle tempistiche regionali ed autorizzative;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RICHIMATO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art. 1 del D.L. n. 76 del 16.07.2020 che dispone la deroga all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art. 36 comma 2 del D.Lgs. 50 /2016 e quindi invita ad operare tramite affidamenti diretti verso operatori economici aventi i requisiti;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DATO ATTO che con propria nota prot. N. 2683 del 27.08.2020 si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è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 rivolto al professionista geom. Nazzareno Conte, selezionato dall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albo degli operatori economici istituito sulla piattaforma digitale in dotazione dell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Ente, invito a manifestare disponibilit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à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 a ricoprire incarico per il servizio tecnico relativo al coordinamento della Sicurezza in fase di esecuzione dei lavori in oggetto, al compenso complessivo di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€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 4.000,00 oltre iva e cassa previdenziale;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VISTA la nota di riscontro positivo del professionista prot. N. 2708 del 31.08.2020, corredata delle dichiarazioni richieste;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ACQUISITO il cig: ZC12E21717;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VERIFICATA la regolarit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à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 contributiva prot. N. 1078444;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RITENUTO di poter procedere in merito affidando i servizi tecnici relativi al coordinamento della sicurezza nella fase di esecuzione dei lavori al professionista selezionato ai sensi dell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art. 1 del D.L. 76/2020 in deroga al 36 comma 2 lettera a) del D.Lgs. 50/2016 e smi;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CHE il ricorso a tale procedura snella, rappresenta per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Ente una semplificazione ed economicit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à</w:t>
      </w: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 amministrativa ovviando a dispendi di risorse economiche;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RITENUTO di poter procedere in merito;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Visto il Regolamento comunale;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Visto il D.Lgs. 267/2000;</w:t>
      </w:r>
    </w:p>
    <w:p>
      <w:pPr>
        <w:spacing w:before="0" w:after="0" w:line="276"/>
        <w:ind w:right="0" w:left="0" w:firstLine="0"/>
        <w:jc w:val="both"/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Visto il D.Lgs. 50/2016.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000000"/>
          <w:spacing w:val="0"/>
          <w:position w:val="0"/>
          <w:sz w:val="24"/>
          <w:shd w:fill="auto" w:val="clear"/>
        </w:rPr>
        <w:t xml:space="preserve">tutto quanto sopra richiamato e premesso,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Goudy Old Style" w:hAnsi="Goudy Old Style" w:cs="Goudy Old Style" w:eastAsia="Goudy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b/>
          <w:color w:val="auto"/>
          <w:spacing w:val="0"/>
          <w:position w:val="0"/>
          <w:sz w:val="24"/>
          <w:shd w:fill="auto" w:val="clear"/>
        </w:rPr>
        <w:t xml:space="preserve">DETERMINA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spacing w:before="0" w:after="200" w:line="276"/>
        <w:ind w:right="0" w:left="360" w:hanging="36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Di dare atto che la premessa narrativa costituisce parte integrante e sostanziale del presente dispositivo;</w:t>
      </w:r>
    </w:p>
    <w:p>
      <w:pPr>
        <w:numPr>
          <w:ilvl w:val="0"/>
          <w:numId w:val="37"/>
        </w:numPr>
        <w:spacing w:before="0" w:after="20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Di affidare il servizio tecnico relativo al coordinamento della sicurezza in fase di esecuzione dei lavori ai sensi del D.lgs. 81/08 relativo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intervento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DI ADEGUAMENTO DI UN INVASO ARTIFICIALE LOCALIT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"I POZZI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PSR LAZIO 2014-2020 MIS. 8.3.1.2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cod. dom.: 54250579858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alla geom. Conte Nazzareno con studio tecnico in Broccostella via Stella 21, c.f.: CNTNZR68A16Z401D, p.iva: 02100040605, al compenso complessivo 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€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 4.000,00 oltre iva e cassa previdenziale al 4%;</w:t>
      </w:r>
    </w:p>
    <w:p>
      <w:pPr>
        <w:numPr>
          <w:ilvl w:val="0"/>
          <w:numId w:val="37"/>
        </w:numPr>
        <w:spacing w:before="0" w:after="200" w:line="276"/>
        <w:ind w:right="0" w:left="360" w:hanging="36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di imputare le relative somme sul capitolo di bilancio 2.09.10.103 Art. 2 anno 2020;</w:t>
      </w:r>
    </w:p>
    <w:p>
      <w:pPr>
        <w:suppressAutoHyphens w:val="true"/>
        <w:spacing w:before="0" w:after="0" w:line="240"/>
        <w:ind w:right="0" w:left="644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0"/>
        </w:numPr>
        <w:spacing w:before="0" w:after="200" w:line="276"/>
        <w:ind w:right="0" w:left="360" w:hanging="36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di disporre la pubblicazione del presente atto sull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t xml:space="preserve">Albo Pretorio Informatico, ai sensi dell’art. 32, commi 1 e 5 della Legge 18.06.2009, n. 69 e nella sezione “Amministrazione Trasparente” ai sensi dell’art. 23 del D.Lgs. 33/2013.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31"/>
      </w:tblGrid>
      <w:tr>
        <w:trPr>
          <w:trHeight w:val="1" w:hRule="atLeast"/>
          <w:jc w:val="left"/>
        </w:trPr>
        <w:tc>
          <w:tcPr>
            <w:tcW w:w="5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Il Responsabile del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SERVIZIO LAVORI PUBBLICI - T.A.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Ing. Luigi Colaiacovo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Goudy Old Style" w:hAnsi="Goudy Old Style" w:cs="Goudy Old Style" w:eastAsia="Goudy Old Style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RESPONSABILE DEL SERVIZIO FINANZIARIO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VISTO DI REGOLARITA’ CONTABILE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Vista la presente determinazione emessa giusta art. 107 del D.Lgs. n. 267/2000, esprime parere favorevole in ordine alla regolarità contabile e ne attesta la copertura finanziaria ai sensi dell’art.151, comma 4, del D.Lgs. n. 267/2000.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Note: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Pescosolido, lì 01-09-2020</w:t>
      </w:r>
    </w:p>
    <w:p>
      <w:pPr>
        <w:tabs>
          <w:tab w:val="left" w:pos="753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tbl>
      <w:tblPr/>
      <w:tblGrid>
        <w:gridCol w:w="3788"/>
      </w:tblGrid>
      <w:tr>
        <w:trPr>
          <w:trHeight w:val="1" w:hRule="atLeast"/>
          <w:jc w:val="left"/>
        </w:trPr>
        <w:tc>
          <w:tcPr>
            <w:tcW w:w="3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Il Responsabile del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SERVIZIO FINANZIARIO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Rag. Anna Giovanna D'Ambrosio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53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339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SEGRETERIA COMUNALE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339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Alla determinazione di cui innanzi viene attribuito, il n° 141 del registro generale.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Pescosolido, lì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214"/>
      </w:tblGrid>
      <w:tr>
        <w:trPr>
          <w:trHeight w:val="1" w:hRule="atLeast"/>
          <w:jc w:val="left"/>
        </w:trPr>
        <w:tc>
          <w:tcPr>
            <w:tcW w:w="4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3998"/>
            </w:tblGrid>
            <w:tr>
              <w:trPr>
                <w:trHeight w:val="1" w:hRule="atLeast"/>
                <w:jc w:val="left"/>
              </w:trPr>
              <w:tc>
                <w:tcPr>
                  <w:tcW w:w="399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Il Responsabile del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SERVIZIO AMMINISTRATIVO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dr. Donato Prospero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CERTIFICATO DI PUBBLICAZIONE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339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Copia della presente determinazione viene pubblicata mediante affissione all’Albo Pretorio del Comune di Pescosolido in data odierna per rimanervi quindici giorni consecutivi</w:t>
      </w: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Pescosolido, lì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tbl>
      <w:tblPr/>
      <w:tblGrid>
        <w:gridCol w:w="4355"/>
      </w:tblGrid>
      <w:tr>
        <w:trPr>
          <w:trHeight w:val="1" w:hRule="atLeast"/>
          <w:jc w:val="left"/>
        </w:trPr>
        <w:tc>
          <w:tcPr>
            <w:tcW w:w="4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4139"/>
            </w:tblGrid>
            <w:tr>
              <w:trPr>
                <w:trHeight w:val="1" w:hRule="atLeast"/>
                <w:jc w:val="left"/>
              </w:trPr>
              <w:tc>
                <w:tcPr>
                  <w:tcW w:w="413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tbl>
                  <w:tblPr/>
                  <w:tblGrid>
                    <w:gridCol w:w="3923"/>
                  </w:tblGrid>
                  <w:tr>
                    <w:trPr>
                      <w:trHeight w:val="1" w:hRule="atLeast"/>
                      <w:jc w:val="left"/>
                    </w:trPr>
                    <w:tc>
                      <w:tcPr>
                        <w:tcW w:w="3923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uto" w:val="clear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Il Responsabile del</w:t>
                        </w:r>
                      </w:p>
                      <w:p>
                        <w:pPr>
                          <w:spacing w:before="0" w:after="0" w:line="240"/>
                          <w:ind w:right="0" w:lef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SERVIZIO AMMINISTRATIVO</w:t>
                        </w:r>
                      </w:p>
                      <w:p>
                        <w:pPr>
                          <w:spacing w:before="0" w:after="0" w:line="240"/>
                          <w:ind w:right="0" w:left="0" w:firstLine="0"/>
                          <w:jc w:val="center"/>
                          <w:rPr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  <w:t xml:space="preserve">dr. Donato Prospero</w:t>
                        </w: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14" w:leader="none"/>
        </w:tabs>
        <w:spacing w:before="0" w:after="0" w:line="240"/>
        <w:ind w:right="0" w:left="0" w:firstLine="0"/>
        <w:jc w:val="left"/>
        <w:rPr>
          <w:rFonts w:ascii="Goudy Old Style" w:hAnsi="Goudy Old Style" w:cs="Goudy Old Style" w:eastAsia="Goudy Old Style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7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